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6" w:rsidRPr="00A01BA1" w:rsidRDefault="00641DB6" w:rsidP="00641DB6">
      <w:pPr>
        <w:rPr>
          <w:rFonts w:ascii="Times New Roman" w:hAnsi="Times New Roman" w:cs="Times New Roman"/>
          <w:b/>
        </w:rPr>
      </w:pPr>
    </w:p>
    <w:p w:rsidR="00641DB6" w:rsidRPr="00C252B9" w:rsidRDefault="00641DB6" w:rsidP="00641DB6">
      <w:pPr>
        <w:rPr>
          <w:rFonts w:ascii="Times New Roman" w:hAnsi="Times New Roman" w:cs="Times New Roman"/>
          <w:color w:val="FF0000"/>
        </w:rPr>
      </w:pPr>
      <w:r w:rsidRPr="00A01BA1">
        <w:rPr>
          <w:rFonts w:ascii="Times New Roman" w:hAnsi="Times New Roman" w:cs="Times New Roman"/>
        </w:rPr>
        <w:t>WPS.SAG. 272-1/15</w:t>
      </w:r>
      <w:r w:rsidRPr="00A01BA1">
        <w:rPr>
          <w:rFonts w:ascii="Times New Roman" w:hAnsi="Times New Roman" w:cs="Times New Roman"/>
        </w:rPr>
        <w:tab/>
      </w:r>
      <w:r w:rsidRPr="00A01BA1">
        <w:rPr>
          <w:rFonts w:ascii="Times New Roman" w:hAnsi="Times New Roman" w:cs="Times New Roman"/>
        </w:rPr>
        <w:tab/>
      </w:r>
      <w:r w:rsidRPr="00A01BA1">
        <w:rPr>
          <w:rFonts w:ascii="Times New Roman" w:hAnsi="Times New Roman" w:cs="Times New Roman"/>
        </w:rPr>
        <w:tab/>
      </w:r>
      <w:r w:rsidRPr="00A01BA1">
        <w:rPr>
          <w:rFonts w:ascii="Times New Roman" w:hAnsi="Times New Roman" w:cs="Times New Roman"/>
        </w:rPr>
        <w:tab/>
      </w:r>
      <w:r w:rsidRPr="00A01BA1">
        <w:rPr>
          <w:rFonts w:ascii="Times New Roman" w:hAnsi="Times New Roman" w:cs="Times New Roman"/>
        </w:rPr>
        <w:tab/>
      </w:r>
      <w:r w:rsidRPr="00A01BA1">
        <w:rPr>
          <w:rFonts w:ascii="Times New Roman" w:hAnsi="Times New Roman" w:cs="Times New Roman"/>
        </w:rPr>
        <w:tab/>
      </w:r>
      <w:r w:rsidRPr="00A01BA1">
        <w:rPr>
          <w:rFonts w:ascii="Times New Roman" w:hAnsi="Times New Roman" w:cs="Times New Roman"/>
        </w:rPr>
        <w:tab/>
        <w:t>Kraków</w:t>
      </w:r>
      <w:r w:rsidRPr="00BB533E">
        <w:rPr>
          <w:rFonts w:ascii="Times New Roman" w:hAnsi="Times New Roman" w:cs="Times New Roman"/>
        </w:rPr>
        <w:t>, dnia 2</w:t>
      </w:r>
      <w:r w:rsidR="00BB533E">
        <w:rPr>
          <w:rFonts w:ascii="Times New Roman" w:hAnsi="Times New Roman" w:cs="Times New Roman"/>
        </w:rPr>
        <w:t>2</w:t>
      </w:r>
      <w:r w:rsidRPr="00BB533E">
        <w:rPr>
          <w:rFonts w:ascii="Times New Roman" w:hAnsi="Times New Roman" w:cs="Times New Roman"/>
        </w:rPr>
        <w:t>.05.2015 r</w:t>
      </w:r>
    </w:p>
    <w:p w:rsidR="00641DB6" w:rsidRPr="00C252B9" w:rsidRDefault="00641DB6" w:rsidP="00641DB6">
      <w:pPr>
        <w:rPr>
          <w:rFonts w:ascii="Times New Roman" w:hAnsi="Times New Roman" w:cs="Times New Roman"/>
          <w:color w:val="FF0000"/>
        </w:rPr>
      </w:pPr>
    </w:p>
    <w:p w:rsidR="00A01BA1" w:rsidRDefault="00A01BA1" w:rsidP="00641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01BA1" w:rsidRDefault="00A01BA1" w:rsidP="00641DB6">
      <w:pPr>
        <w:rPr>
          <w:rFonts w:ascii="Times New Roman" w:hAnsi="Times New Roman" w:cs="Times New Roman"/>
          <w:b/>
        </w:rPr>
      </w:pPr>
    </w:p>
    <w:p w:rsidR="00A01BA1" w:rsidRDefault="00A01BA1" w:rsidP="00641DB6">
      <w:pPr>
        <w:rPr>
          <w:rFonts w:ascii="Times New Roman" w:hAnsi="Times New Roman" w:cs="Times New Roman"/>
          <w:b/>
        </w:rPr>
      </w:pPr>
    </w:p>
    <w:p w:rsidR="005D5DEF" w:rsidRPr="00A01BA1" w:rsidRDefault="005D5DEF" w:rsidP="00641D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01BA1">
        <w:rPr>
          <w:rFonts w:ascii="Times New Roman" w:hAnsi="Times New Roman" w:cs="Times New Roman"/>
          <w:b/>
        </w:rPr>
        <w:tab/>
      </w:r>
      <w:r w:rsidR="00A01BA1">
        <w:rPr>
          <w:rFonts w:ascii="Times New Roman" w:hAnsi="Times New Roman" w:cs="Times New Roman"/>
          <w:b/>
        </w:rPr>
        <w:tab/>
        <w:t>W</w:t>
      </w:r>
      <w:r>
        <w:rPr>
          <w:rFonts w:ascii="Times New Roman" w:hAnsi="Times New Roman" w:cs="Times New Roman"/>
          <w:b/>
        </w:rPr>
        <w:t>SZYSCY UCZESTNICY POSTĘPOWANIA</w:t>
      </w:r>
    </w:p>
    <w:p w:rsidR="00A01BA1" w:rsidRPr="00A01BA1" w:rsidRDefault="00A01BA1" w:rsidP="00641DB6">
      <w:pPr>
        <w:rPr>
          <w:rFonts w:ascii="Times New Roman" w:hAnsi="Times New Roman" w:cs="Times New Roman"/>
        </w:rPr>
      </w:pPr>
    </w:p>
    <w:p w:rsidR="00A01BA1" w:rsidRPr="00A01BA1" w:rsidRDefault="00A01BA1" w:rsidP="00641DB6">
      <w:pPr>
        <w:rPr>
          <w:rFonts w:ascii="Times New Roman" w:hAnsi="Times New Roman" w:cs="Times New Roman"/>
        </w:rPr>
      </w:pPr>
    </w:p>
    <w:p w:rsidR="00641DB6" w:rsidRPr="00A01BA1" w:rsidRDefault="00641DB6" w:rsidP="00641DB6">
      <w:pPr>
        <w:jc w:val="both"/>
        <w:rPr>
          <w:rFonts w:ascii="Times New Roman" w:hAnsi="Times New Roman" w:cs="Times New Roman"/>
          <w:b/>
        </w:rPr>
      </w:pPr>
      <w:r w:rsidRPr="00A01BA1">
        <w:rPr>
          <w:rFonts w:ascii="Times New Roman" w:hAnsi="Times New Roman" w:cs="Times New Roman"/>
          <w:b/>
          <w:u w:val="single"/>
        </w:rPr>
        <w:t>Dotyczy:</w:t>
      </w:r>
      <w:r w:rsidRPr="00A01BA1">
        <w:rPr>
          <w:rFonts w:ascii="Times New Roman" w:hAnsi="Times New Roman" w:cs="Times New Roman"/>
          <w:b/>
        </w:rPr>
        <w:t xml:space="preserve"> postępowania o udzielenie zamówienia publicznego nr WPS.SAG.272-1/15</w:t>
      </w:r>
      <w:r w:rsidR="00AC4695">
        <w:rPr>
          <w:rFonts w:ascii="Times New Roman" w:hAnsi="Times New Roman" w:cs="Times New Roman"/>
          <w:b/>
        </w:rPr>
        <w:t xml:space="preserve"> </w:t>
      </w:r>
      <w:r w:rsidRPr="00A01BA1">
        <w:rPr>
          <w:rFonts w:ascii="Times New Roman" w:hAnsi="Times New Roman" w:cs="Times New Roman"/>
          <w:b/>
        </w:rPr>
        <w:t xml:space="preserve"> w trybie przetargu nieograniczonego o wartości poniżej 207 000 EURO na:</w:t>
      </w:r>
    </w:p>
    <w:p w:rsidR="00641DB6" w:rsidRPr="00A01BA1" w:rsidRDefault="00641DB6" w:rsidP="00641DB6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A01BA1">
        <w:rPr>
          <w:rFonts w:ascii="Times New Roman" w:hAnsi="Times New Roman" w:cs="Times New Roman"/>
          <w:b/>
          <w:bCs/>
        </w:rPr>
        <w:t>Przedmiot zamówienia</w:t>
      </w:r>
    </w:p>
    <w:p w:rsidR="00641DB6" w:rsidRPr="00A01BA1" w:rsidRDefault="00641DB6" w:rsidP="00641DB6">
      <w:pPr>
        <w:widowControl w:val="0"/>
        <w:numPr>
          <w:ilvl w:val="0"/>
          <w:numId w:val="19"/>
        </w:numPr>
        <w:suppressAutoHyphens/>
        <w:spacing w:before="0" w:after="0"/>
        <w:jc w:val="both"/>
        <w:rPr>
          <w:rFonts w:ascii="Times New Roman" w:hAnsi="Times New Roman" w:cs="Times New Roman"/>
          <w:bCs/>
        </w:rPr>
      </w:pPr>
      <w:r w:rsidRPr="00A01BA1">
        <w:rPr>
          <w:rFonts w:ascii="Times New Roman" w:hAnsi="Times New Roman" w:cs="Times New Roman"/>
          <w:bCs/>
        </w:rPr>
        <w:t>dostawa opatrunków, wyrobów jednorazowego użytku, materiałów stomatologicznych, narzędzi, materiałów i zamków ortodontycznych przez okres 1 roku od dnia podpisania umowy, z podziałem na pakiety</w:t>
      </w:r>
    </w:p>
    <w:p w:rsidR="00641DB6" w:rsidRPr="00A01BA1" w:rsidRDefault="00641DB6" w:rsidP="00641DB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Cs/>
        </w:rPr>
      </w:pPr>
      <w:r w:rsidRPr="00A01BA1">
        <w:rPr>
          <w:rFonts w:ascii="Times New Roman" w:hAnsi="Times New Roman" w:cs="Times New Roman"/>
          <w:bCs/>
        </w:rPr>
        <w:t xml:space="preserve">Pakiet I  </w:t>
      </w:r>
      <w:r w:rsidRPr="00A01BA1">
        <w:rPr>
          <w:rFonts w:ascii="Times New Roman" w:hAnsi="Times New Roman" w:cs="Times New Roman"/>
          <w:bCs/>
        </w:rPr>
        <w:tab/>
        <w:t>Opatrunki</w:t>
      </w:r>
    </w:p>
    <w:p w:rsidR="00641DB6" w:rsidRPr="00A01BA1" w:rsidRDefault="00641DB6" w:rsidP="00641DB6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A01BA1">
        <w:rPr>
          <w:rFonts w:ascii="Times New Roman" w:hAnsi="Times New Roman" w:cs="Times New Roman"/>
          <w:bCs/>
        </w:rPr>
        <w:t xml:space="preserve">Pakiet II  </w:t>
      </w:r>
      <w:r w:rsidRPr="00A01BA1">
        <w:rPr>
          <w:rFonts w:ascii="Times New Roman" w:hAnsi="Times New Roman" w:cs="Times New Roman"/>
          <w:bCs/>
        </w:rPr>
        <w:tab/>
        <w:t>Wyroby jednorazowego użytku</w:t>
      </w:r>
    </w:p>
    <w:p w:rsidR="00641DB6" w:rsidRPr="00641DB6" w:rsidRDefault="00641DB6" w:rsidP="00641DB6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 xml:space="preserve">Pakiet III  </w:t>
      </w:r>
      <w:r w:rsidRPr="00641DB6">
        <w:rPr>
          <w:rFonts w:ascii="Times New Roman" w:hAnsi="Times New Roman" w:cs="Times New Roman"/>
          <w:bCs/>
        </w:rPr>
        <w:tab/>
        <w:t>Materiały stomatologiczne</w:t>
      </w:r>
    </w:p>
    <w:p w:rsidR="00641DB6" w:rsidRPr="00641DB6" w:rsidRDefault="00641DB6" w:rsidP="00641DB6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 xml:space="preserve">Pakiet IV  </w:t>
      </w:r>
      <w:r w:rsidRPr="00641DB6">
        <w:rPr>
          <w:rFonts w:ascii="Times New Roman" w:hAnsi="Times New Roman" w:cs="Times New Roman"/>
          <w:bCs/>
        </w:rPr>
        <w:tab/>
        <w:t>Narzędzia</w:t>
      </w:r>
    </w:p>
    <w:p w:rsidR="00641DB6" w:rsidRPr="00641DB6" w:rsidRDefault="00641DB6" w:rsidP="00641DB6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 xml:space="preserve">Pakiet V  </w:t>
      </w:r>
      <w:r w:rsidRPr="00641DB6">
        <w:rPr>
          <w:rFonts w:ascii="Times New Roman" w:hAnsi="Times New Roman" w:cs="Times New Roman"/>
          <w:bCs/>
        </w:rPr>
        <w:tab/>
        <w:t>Materiały ortodontyczne A</w:t>
      </w:r>
    </w:p>
    <w:p w:rsidR="00641DB6" w:rsidRPr="00641DB6" w:rsidRDefault="00641DB6" w:rsidP="00641DB6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>Pakiet VI</w:t>
      </w:r>
      <w:r w:rsidRPr="00641DB6">
        <w:rPr>
          <w:rFonts w:ascii="Times New Roman" w:hAnsi="Times New Roman" w:cs="Times New Roman"/>
          <w:bCs/>
        </w:rPr>
        <w:tab/>
        <w:t>Materiały ortodontyczne B</w:t>
      </w:r>
    </w:p>
    <w:p w:rsidR="00641DB6" w:rsidRPr="00641DB6" w:rsidRDefault="00641DB6" w:rsidP="00641DB6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>Pakiet VII</w:t>
      </w:r>
      <w:r w:rsidRPr="00641DB6">
        <w:rPr>
          <w:rFonts w:ascii="Times New Roman" w:hAnsi="Times New Roman" w:cs="Times New Roman"/>
          <w:bCs/>
        </w:rPr>
        <w:tab/>
        <w:t>Zamki ortodontyczne</w:t>
      </w:r>
    </w:p>
    <w:p w:rsidR="00641DB6" w:rsidRPr="00641DB6" w:rsidRDefault="00641DB6" w:rsidP="00641DB6">
      <w:pPr>
        <w:spacing w:before="0" w:after="0"/>
        <w:ind w:firstLine="708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>Przedmiot zamówienia obejmuje zakup i sukcesywną dostawę.</w:t>
      </w:r>
    </w:p>
    <w:p w:rsidR="00641DB6" w:rsidRPr="00641DB6" w:rsidRDefault="00641DB6" w:rsidP="00641DB6">
      <w:pPr>
        <w:widowControl w:val="0"/>
        <w:numPr>
          <w:ilvl w:val="0"/>
          <w:numId w:val="19"/>
        </w:numPr>
        <w:suppressAutoHyphens/>
        <w:spacing w:before="0" w:after="0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>dostawa narzędzi ortodontycznych, narzędzi do mikrochirurgii oraz sprzętu medycznego, z podziałem na pakiety:</w:t>
      </w:r>
    </w:p>
    <w:p w:rsidR="00641DB6" w:rsidRPr="00641DB6" w:rsidRDefault="00641DB6" w:rsidP="00641DB6">
      <w:pPr>
        <w:spacing w:before="0" w:after="0"/>
        <w:ind w:firstLine="708"/>
        <w:rPr>
          <w:rFonts w:ascii="Times New Roman" w:hAnsi="Times New Roman" w:cs="Times New Roman"/>
        </w:rPr>
      </w:pPr>
      <w:r w:rsidRPr="00641DB6">
        <w:rPr>
          <w:rFonts w:ascii="Times New Roman" w:hAnsi="Times New Roman" w:cs="Times New Roman"/>
        </w:rPr>
        <w:t xml:space="preserve">Pakiet VIII </w:t>
      </w:r>
      <w:r w:rsidRPr="00641DB6">
        <w:rPr>
          <w:rFonts w:ascii="Times New Roman" w:hAnsi="Times New Roman" w:cs="Times New Roman"/>
        </w:rPr>
        <w:tab/>
        <w:t>Narzędzia ortodontyczne</w:t>
      </w:r>
    </w:p>
    <w:p w:rsidR="00641DB6" w:rsidRPr="00641DB6" w:rsidRDefault="00641DB6" w:rsidP="00641DB6">
      <w:pPr>
        <w:spacing w:before="0" w:after="0"/>
        <w:ind w:left="720"/>
        <w:rPr>
          <w:rFonts w:ascii="Times New Roman" w:hAnsi="Times New Roman" w:cs="Times New Roman"/>
        </w:rPr>
      </w:pPr>
      <w:r w:rsidRPr="00641DB6">
        <w:rPr>
          <w:rFonts w:ascii="Times New Roman" w:hAnsi="Times New Roman" w:cs="Times New Roman"/>
        </w:rPr>
        <w:t xml:space="preserve">Pakiet IX </w:t>
      </w:r>
      <w:r w:rsidRPr="00641DB6">
        <w:rPr>
          <w:rFonts w:ascii="Times New Roman" w:hAnsi="Times New Roman" w:cs="Times New Roman"/>
        </w:rPr>
        <w:tab/>
        <w:t>Narzędzia do mikrochirurgii</w:t>
      </w:r>
    </w:p>
    <w:p w:rsidR="00641DB6" w:rsidRPr="00641DB6" w:rsidRDefault="00641DB6" w:rsidP="00641DB6">
      <w:pPr>
        <w:spacing w:before="0" w:after="0"/>
        <w:ind w:left="720"/>
        <w:rPr>
          <w:rFonts w:ascii="Times New Roman" w:hAnsi="Times New Roman" w:cs="Times New Roman"/>
        </w:rPr>
      </w:pPr>
      <w:r w:rsidRPr="00641DB6">
        <w:rPr>
          <w:rFonts w:ascii="Times New Roman" w:hAnsi="Times New Roman" w:cs="Times New Roman"/>
        </w:rPr>
        <w:t>Pakiet X</w:t>
      </w:r>
      <w:r w:rsidRPr="00641DB6">
        <w:rPr>
          <w:rFonts w:ascii="Times New Roman" w:hAnsi="Times New Roman" w:cs="Times New Roman"/>
        </w:rPr>
        <w:tab/>
        <w:t>Sprzęt medyczny</w:t>
      </w:r>
    </w:p>
    <w:p w:rsidR="00641DB6" w:rsidRPr="00641DB6" w:rsidRDefault="00641DB6" w:rsidP="00641DB6">
      <w:pPr>
        <w:spacing w:before="0" w:after="0"/>
        <w:ind w:left="720"/>
        <w:jc w:val="both"/>
        <w:rPr>
          <w:rFonts w:ascii="Times New Roman" w:hAnsi="Times New Roman" w:cs="Times New Roman"/>
          <w:bCs/>
        </w:rPr>
      </w:pPr>
      <w:r w:rsidRPr="00641DB6">
        <w:rPr>
          <w:rFonts w:ascii="Times New Roman" w:hAnsi="Times New Roman" w:cs="Times New Roman"/>
          <w:bCs/>
        </w:rPr>
        <w:t>Przedmiot zamówienia obejmuje: zakup, dostawę, montaż i szkolenie pracowników Zamawiającego w zakresie obsługi zakupionego sprzętu i narzędzi.</w:t>
      </w:r>
    </w:p>
    <w:p w:rsidR="00641DB6" w:rsidRDefault="00641DB6" w:rsidP="00641DB6">
      <w:pPr>
        <w:jc w:val="both"/>
        <w:rPr>
          <w:bCs/>
        </w:rPr>
      </w:pPr>
    </w:p>
    <w:p w:rsidR="00641DB6" w:rsidRPr="005D5DEF" w:rsidRDefault="00641DB6" w:rsidP="005D5DEF">
      <w:pPr>
        <w:jc w:val="both"/>
        <w:rPr>
          <w:rFonts w:ascii="Times New Roman" w:hAnsi="Times New Roman" w:cs="Times New Roman"/>
          <w:b/>
        </w:rPr>
      </w:pPr>
      <w:r w:rsidRPr="00641DB6">
        <w:rPr>
          <w:rFonts w:ascii="Times New Roman" w:hAnsi="Times New Roman" w:cs="Times New Roman"/>
          <w:b/>
        </w:rPr>
        <w:t>Kod CPV 33100000-1 Urządzenia medyczne</w:t>
      </w: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01BA1" w:rsidRPr="00A01BA1" w:rsidTr="00A01BA1">
        <w:trPr>
          <w:jc w:val="center"/>
        </w:trPr>
        <w:tc>
          <w:tcPr>
            <w:tcW w:w="10206" w:type="dxa"/>
            <w:hideMark/>
          </w:tcPr>
          <w:p w:rsidR="00A01BA1" w:rsidRPr="00A01BA1" w:rsidRDefault="00A01BA1">
            <w:pPr>
              <w:pStyle w:val="Nagwek1"/>
              <w:spacing w:line="25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01BA1">
              <w:rPr>
                <w:rFonts w:ascii="Times New Roman" w:eastAsiaTheme="minorEastAsia" w:hAnsi="Times New Roman" w:cs="Times New Roman"/>
                <w:b w:val="0"/>
                <w:iCs/>
                <w:color w:val="auto"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ZAWIADOMIENIE</w:t>
            </w: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  <w:hideMark/>
          </w:tcPr>
          <w:p w:rsidR="00A01BA1" w:rsidRPr="00A01BA1" w:rsidRDefault="00A01BA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1BA1">
              <w:rPr>
                <w:rFonts w:ascii="Times New Roman" w:hAnsi="Times New Roman" w:cs="Times New Roman"/>
                <w:bCs/>
              </w:rPr>
              <w:t>o unieważnieniu postępowania</w:t>
            </w:r>
          </w:p>
        </w:tc>
      </w:tr>
      <w:tr w:rsidR="00A01BA1" w:rsidRPr="00A01BA1" w:rsidTr="00A01BA1">
        <w:trPr>
          <w:trHeight w:val="489"/>
          <w:jc w:val="center"/>
        </w:trPr>
        <w:tc>
          <w:tcPr>
            <w:tcW w:w="10206" w:type="dxa"/>
          </w:tcPr>
          <w:p w:rsidR="00A01BA1" w:rsidRPr="00A01BA1" w:rsidRDefault="00A01BA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  <w:hideMark/>
          </w:tcPr>
          <w:p w:rsidR="00A01BA1" w:rsidRPr="00A01BA1" w:rsidRDefault="00A01BA1" w:rsidP="00A01BA1">
            <w:pPr>
              <w:pStyle w:val="Tekstpodstawowy2"/>
              <w:spacing w:line="25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 Wojewódzka Przychodnia Stomatologiczna im. dr. n. med. Zbigniewa Żaka w Krakowie </w:t>
            </w:r>
            <w:r w:rsidRPr="00A01BA1">
              <w:rPr>
                <w:b w:val="0"/>
                <w:bCs w:val="0"/>
                <w:i w:val="0"/>
                <w:iCs w:val="0"/>
              </w:rPr>
              <w:t>, działając zgodnie z art. 93 ust. 3 ustawy z dnia 29 stycznia 2004 r. - Prawo zamówień publicznych (tekst jedn.: Dz. U. z 2006 r. Nr 164, poz. 1163), zawiadamia o unieważnieniu postępowania o udzielenie zamówienia publicznego na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bCs w:val="0"/>
                <w:i w:val="0"/>
                <w:iCs w:val="0"/>
              </w:rPr>
              <w:t xml:space="preserve">Pakiet X – Sprzęt medyczny </w:t>
            </w:r>
            <w:r w:rsidRPr="00A01BA1">
              <w:rPr>
                <w:b w:val="0"/>
                <w:bCs w:val="0"/>
                <w:i w:val="0"/>
                <w:iCs w:val="0"/>
              </w:rPr>
              <w:t>prowadzonego w trybie przetargu nieograniczonego.</w:t>
            </w: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</w:tcPr>
          <w:p w:rsidR="00A01BA1" w:rsidRPr="00A01BA1" w:rsidRDefault="00A01BA1">
            <w:pPr>
              <w:pStyle w:val="Tekstpodstawowy"/>
              <w:spacing w:line="256" w:lineRule="auto"/>
            </w:pP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  <w:hideMark/>
          </w:tcPr>
          <w:p w:rsidR="001007D1" w:rsidRDefault="00A01BA1">
            <w:pPr>
              <w:pStyle w:val="Tekstpodstawowy"/>
              <w:spacing w:line="256" w:lineRule="auto"/>
            </w:pPr>
            <w:r w:rsidRPr="00A01BA1">
              <w:lastRenderedPageBreak/>
              <w:t xml:space="preserve">  </w:t>
            </w:r>
          </w:p>
          <w:p w:rsidR="00A01BA1" w:rsidRPr="00A01BA1" w:rsidRDefault="00A01BA1">
            <w:pPr>
              <w:pStyle w:val="Tekstpodstawowy"/>
              <w:spacing w:line="256" w:lineRule="auto"/>
            </w:pPr>
            <w:bookmarkStart w:id="0" w:name="_GoBack"/>
            <w:bookmarkEnd w:id="0"/>
            <w:r w:rsidRPr="00A01BA1">
              <w:t xml:space="preserve"> Postępowanie zostało unieważnione na mocy art. 93 ust. 1 pkt 1 ustawy z dnia 29 stycznia 2004 r. - Prawo zamówień publicznych (tekst jedn.: Dz. U. z 2006 r. Nr 164, poz. 1163).</w:t>
            </w: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</w:tcPr>
          <w:p w:rsidR="00A01BA1" w:rsidRPr="00A01BA1" w:rsidRDefault="00A01BA1">
            <w:pPr>
              <w:pStyle w:val="Tekstpodstawowy"/>
              <w:spacing w:line="256" w:lineRule="auto"/>
              <w:jc w:val="left"/>
            </w:pP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  <w:hideMark/>
          </w:tcPr>
          <w:p w:rsidR="00A01BA1" w:rsidRPr="00A01BA1" w:rsidRDefault="00A01BA1">
            <w:pPr>
              <w:pStyle w:val="Tekstpodstawowy"/>
              <w:spacing w:line="256" w:lineRule="auto"/>
              <w:jc w:val="center"/>
              <w:rPr>
                <w:b/>
                <w:bCs/>
              </w:rPr>
            </w:pPr>
            <w:r w:rsidRPr="00A01BA1">
              <w:rPr>
                <w:b/>
                <w:bCs/>
              </w:rPr>
              <w:t>Uzasadnienie</w:t>
            </w: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</w:tcPr>
          <w:p w:rsidR="00A01BA1" w:rsidRPr="00A01BA1" w:rsidRDefault="00A01BA1">
            <w:pPr>
              <w:pStyle w:val="Tekstpodstawowy"/>
              <w:spacing w:line="256" w:lineRule="auto"/>
            </w:pP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  <w:hideMark/>
          </w:tcPr>
          <w:p w:rsidR="00A01BA1" w:rsidRPr="00A01BA1" w:rsidRDefault="00A01BA1" w:rsidP="00A01BA1">
            <w:pPr>
              <w:pStyle w:val="Tekstpodstawowy"/>
              <w:spacing w:line="256" w:lineRule="auto"/>
            </w:pPr>
            <w:r w:rsidRPr="00A01BA1">
              <w:t xml:space="preserve">   W dniu</w:t>
            </w:r>
            <w:r>
              <w:t xml:space="preserve"> 19.05.2015 r. </w:t>
            </w:r>
            <w:r w:rsidRPr="00A01BA1">
              <w:t xml:space="preserve"> Zamawiający wyznaczył termin składania i otwarcia ofert w postępowaniu o udzielnie zamówienia publicznego na </w:t>
            </w:r>
            <w:r>
              <w:rPr>
                <w:b/>
              </w:rPr>
              <w:t xml:space="preserve">Pakiet X – Sprzęt medyczny </w:t>
            </w:r>
            <w:r>
              <w:t>p</w:t>
            </w:r>
            <w:r w:rsidRPr="00A01BA1">
              <w:t xml:space="preserve">rowadzonego w trybie przetargu nieograniczonego. W wyznaczonym terminie </w:t>
            </w:r>
            <w:r w:rsidRPr="00AC4695">
              <w:rPr>
                <w:b/>
              </w:rPr>
              <w:t>nie została złożona żadna oferta.</w:t>
            </w:r>
          </w:p>
        </w:tc>
      </w:tr>
      <w:tr w:rsidR="00A01BA1" w:rsidRPr="00A01BA1" w:rsidTr="00A01BA1">
        <w:trPr>
          <w:jc w:val="center"/>
        </w:trPr>
        <w:tc>
          <w:tcPr>
            <w:tcW w:w="10206" w:type="dxa"/>
          </w:tcPr>
          <w:p w:rsidR="00A01BA1" w:rsidRPr="00A01BA1" w:rsidRDefault="00A01BA1">
            <w:pPr>
              <w:pStyle w:val="Tekstpodstawowy"/>
              <w:spacing w:line="256" w:lineRule="auto"/>
            </w:pPr>
          </w:p>
        </w:tc>
      </w:tr>
      <w:tr w:rsidR="00A01BA1" w:rsidRPr="001007D1" w:rsidTr="00A01BA1">
        <w:trPr>
          <w:jc w:val="center"/>
        </w:trPr>
        <w:tc>
          <w:tcPr>
            <w:tcW w:w="10206" w:type="dxa"/>
            <w:hideMark/>
          </w:tcPr>
          <w:p w:rsidR="00A01BA1" w:rsidRDefault="00A01BA1">
            <w:pPr>
              <w:pStyle w:val="Tekstpodstawowy"/>
              <w:spacing w:line="256" w:lineRule="auto"/>
              <w:jc w:val="left"/>
              <w:rPr>
                <w:b/>
              </w:rPr>
            </w:pPr>
            <w:r w:rsidRPr="001007D1">
              <w:rPr>
                <w:b/>
              </w:rPr>
              <w:t xml:space="preserve">   W związku z powyższym postanowiono jak w sentencji.</w:t>
            </w:r>
          </w:p>
          <w:p w:rsidR="001007D1" w:rsidRPr="001007D1" w:rsidRDefault="001007D1">
            <w:pPr>
              <w:pStyle w:val="Tekstpodstawowy"/>
              <w:spacing w:line="256" w:lineRule="auto"/>
              <w:jc w:val="left"/>
              <w:rPr>
                <w:b/>
              </w:rPr>
            </w:pPr>
          </w:p>
        </w:tc>
      </w:tr>
      <w:tr w:rsidR="00A01BA1" w:rsidRPr="00A01BA1" w:rsidTr="00A01BA1">
        <w:trPr>
          <w:trHeight w:val="734"/>
          <w:jc w:val="center"/>
        </w:trPr>
        <w:tc>
          <w:tcPr>
            <w:tcW w:w="10206" w:type="dxa"/>
          </w:tcPr>
          <w:p w:rsidR="00A01BA1" w:rsidRPr="00A01BA1" w:rsidRDefault="00BB533E" w:rsidP="001007D1">
            <w:pPr>
              <w:pStyle w:val="Tekstpodstawowy"/>
              <w:spacing w:line="256" w:lineRule="auto"/>
            </w:pPr>
            <w:r>
              <w:t>Jednocześnie Zamawiający informuje, że w najbliższym czasie zamierza powtórzyć procedurę przetargową. Przypomina również iż na mocy art. 93 ust. 5 ustawy Prawo zamówień publicznych Zamawiający na wniosek Wykonawcy który ubiegał się o udzielenie zamówienia, zawiadamia o wszczęciu kolejnego postępowania, które dotycz tego samego przedmiotu zamówienia lub obejmuje ten sam przedmiot zamówienia.</w:t>
            </w:r>
          </w:p>
        </w:tc>
      </w:tr>
      <w:tr w:rsidR="001007D1" w:rsidRPr="00A01BA1" w:rsidTr="00A01BA1">
        <w:trPr>
          <w:trHeight w:val="734"/>
          <w:jc w:val="center"/>
        </w:trPr>
        <w:tc>
          <w:tcPr>
            <w:tcW w:w="10206" w:type="dxa"/>
          </w:tcPr>
          <w:p w:rsidR="001007D1" w:rsidRDefault="001007D1" w:rsidP="00BB533E">
            <w:pPr>
              <w:pStyle w:val="Tekstpodstawowy"/>
              <w:spacing w:line="256" w:lineRule="auto"/>
            </w:pPr>
          </w:p>
        </w:tc>
      </w:tr>
    </w:tbl>
    <w:p w:rsidR="00A01BA1" w:rsidRPr="00A01BA1" w:rsidRDefault="00A01BA1" w:rsidP="00A01BA1">
      <w:pPr>
        <w:pStyle w:val="Tekstpodstawowy"/>
      </w:pPr>
    </w:p>
    <w:p w:rsidR="00A01BA1" w:rsidRPr="00A01BA1" w:rsidRDefault="005D5DEF" w:rsidP="00A01BA1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5F41B0" w:rsidRPr="00A01BA1" w:rsidRDefault="005F41B0" w:rsidP="005F41B0">
      <w:pPr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</w:p>
    <w:sectPr w:rsidR="005F41B0" w:rsidRPr="00A01BA1" w:rsidSect="00C05C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61" w:rsidRDefault="007E0D61" w:rsidP="00824579">
      <w:pPr>
        <w:spacing w:before="0" w:after="0"/>
      </w:pPr>
      <w:r>
        <w:separator/>
      </w:r>
    </w:p>
  </w:endnote>
  <w:endnote w:type="continuationSeparator" w:id="0">
    <w:p w:rsidR="007E0D61" w:rsidRDefault="007E0D6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C05CB3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-474345</wp:posOffset>
          </wp:positionV>
          <wp:extent cx="7519670" cy="882015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61" w:rsidRDefault="007E0D61" w:rsidP="00824579">
      <w:pPr>
        <w:spacing w:before="0" w:after="0"/>
      </w:pPr>
      <w:r>
        <w:separator/>
      </w:r>
    </w:p>
  </w:footnote>
  <w:footnote w:type="continuationSeparator" w:id="0">
    <w:p w:rsidR="007E0D61" w:rsidRDefault="007E0D6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7E0D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7E0D61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7728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C05CB3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413910" w:rsidP="00C709D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7E0D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1E030097"/>
    <w:multiLevelType w:val="hybridMultilevel"/>
    <w:tmpl w:val="C9380B5A"/>
    <w:lvl w:ilvl="0" w:tplc="B5FAE678">
      <w:start w:val="4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F1CD1"/>
    <w:multiLevelType w:val="hybridMultilevel"/>
    <w:tmpl w:val="22624CF0"/>
    <w:lvl w:ilvl="0" w:tplc="418892E8">
      <w:start w:val="1"/>
      <w:numFmt w:val="decimal"/>
      <w:lvlText w:val="%1)"/>
      <w:lvlJc w:val="left"/>
      <w:pPr>
        <w:ind w:left="1423" w:hanging="360"/>
      </w:pPr>
      <w:rPr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3F2104B6"/>
    <w:multiLevelType w:val="hybridMultilevel"/>
    <w:tmpl w:val="C9C2A8C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8"/>
  </w:num>
  <w:num w:numId="18">
    <w:abstractNumId w:val="2"/>
  </w:num>
  <w:num w:numId="19">
    <w:abstractNumId w:val="1"/>
    <w:lvlOverride w:ilvl="0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C1978"/>
    <w:rsid w:val="001007D1"/>
    <w:rsid w:val="001326F8"/>
    <w:rsid w:val="00144B7E"/>
    <w:rsid w:val="00154F03"/>
    <w:rsid w:val="00185BCD"/>
    <w:rsid w:val="001D60C1"/>
    <w:rsid w:val="001F4250"/>
    <w:rsid w:val="00206E7E"/>
    <w:rsid w:val="0022052E"/>
    <w:rsid w:val="002464FB"/>
    <w:rsid w:val="00272C70"/>
    <w:rsid w:val="00296014"/>
    <w:rsid w:val="002D163D"/>
    <w:rsid w:val="00300021"/>
    <w:rsid w:val="00303DAC"/>
    <w:rsid w:val="00320E41"/>
    <w:rsid w:val="003713E5"/>
    <w:rsid w:val="00376283"/>
    <w:rsid w:val="003923B7"/>
    <w:rsid w:val="003B01FC"/>
    <w:rsid w:val="003D608F"/>
    <w:rsid w:val="00400386"/>
    <w:rsid w:val="00413910"/>
    <w:rsid w:val="004A7476"/>
    <w:rsid w:val="004B723A"/>
    <w:rsid w:val="004C1F55"/>
    <w:rsid w:val="004D57AD"/>
    <w:rsid w:val="004E3E6B"/>
    <w:rsid w:val="004E632F"/>
    <w:rsid w:val="00517C80"/>
    <w:rsid w:val="005C3120"/>
    <w:rsid w:val="005C5E6D"/>
    <w:rsid w:val="005D0BF4"/>
    <w:rsid w:val="005D5DEF"/>
    <w:rsid w:val="005F41B0"/>
    <w:rsid w:val="00625679"/>
    <w:rsid w:val="006406B7"/>
    <w:rsid w:val="00641DB6"/>
    <w:rsid w:val="00651AFF"/>
    <w:rsid w:val="00660638"/>
    <w:rsid w:val="006D14EB"/>
    <w:rsid w:val="00716A5E"/>
    <w:rsid w:val="00751C78"/>
    <w:rsid w:val="007E0D61"/>
    <w:rsid w:val="007F2C5C"/>
    <w:rsid w:val="00824579"/>
    <w:rsid w:val="008B6189"/>
    <w:rsid w:val="008C0E35"/>
    <w:rsid w:val="008F3BB3"/>
    <w:rsid w:val="00900FB8"/>
    <w:rsid w:val="0090252D"/>
    <w:rsid w:val="009040A1"/>
    <w:rsid w:val="009108C1"/>
    <w:rsid w:val="0095387B"/>
    <w:rsid w:val="009A3975"/>
    <w:rsid w:val="009B6A03"/>
    <w:rsid w:val="00A01BA1"/>
    <w:rsid w:val="00A317BF"/>
    <w:rsid w:val="00A403EE"/>
    <w:rsid w:val="00A740E7"/>
    <w:rsid w:val="00AA6F32"/>
    <w:rsid w:val="00AC1587"/>
    <w:rsid w:val="00AC4695"/>
    <w:rsid w:val="00B1370A"/>
    <w:rsid w:val="00B53079"/>
    <w:rsid w:val="00B545A9"/>
    <w:rsid w:val="00BB533E"/>
    <w:rsid w:val="00BB6316"/>
    <w:rsid w:val="00BD748F"/>
    <w:rsid w:val="00BF166B"/>
    <w:rsid w:val="00C05507"/>
    <w:rsid w:val="00C05CB3"/>
    <w:rsid w:val="00C252B9"/>
    <w:rsid w:val="00C4269B"/>
    <w:rsid w:val="00C51A8A"/>
    <w:rsid w:val="00C709D9"/>
    <w:rsid w:val="00C84AC3"/>
    <w:rsid w:val="00C93C52"/>
    <w:rsid w:val="00CD556A"/>
    <w:rsid w:val="00CF4B70"/>
    <w:rsid w:val="00D165E1"/>
    <w:rsid w:val="00D32EC3"/>
    <w:rsid w:val="00DA7803"/>
    <w:rsid w:val="00DC663E"/>
    <w:rsid w:val="00DE758D"/>
    <w:rsid w:val="00E07531"/>
    <w:rsid w:val="00E6687B"/>
    <w:rsid w:val="00E82781"/>
    <w:rsid w:val="00E93BD6"/>
    <w:rsid w:val="00EC5BD7"/>
    <w:rsid w:val="00F00D2E"/>
    <w:rsid w:val="00F31681"/>
    <w:rsid w:val="00F45C78"/>
    <w:rsid w:val="00F63028"/>
    <w:rsid w:val="00F85873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DB6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01BA1"/>
    <w:pPr>
      <w:spacing w:before="0" w:after="0"/>
      <w:jc w:val="both"/>
    </w:pPr>
    <w:rPr>
      <w:rFonts w:ascii="Times New Roman" w:eastAsiaTheme="minorEastAsia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1BA1"/>
    <w:rPr>
      <w:rFonts w:ascii="Times New Roman" w:eastAsiaTheme="minorEastAsia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01BA1"/>
    <w:pPr>
      <w:spacing w:before="0" w:after="0"/>
      <w:jc w:val="both"/>
    </w:pPr>
    <w:rPr>
      <w:rFonts w:ascii="Times New Roman" w:eastAsiaTheme="minorEastAsia" w:hAnsi="Times New Roman" w:cs="Times New Roman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1BA1"/>
    <w:rPr>
      <w:rFonts w:ascii="Times New Roman" w:eastAsiaTheme="minorEastAsia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2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DB6"/>
    <w:pPr>
      <w:spacing w:before="0" w:after="0"/>
      <w:ind w:left="720"/>
      <w:contextualSpacing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01BA1"/>
    <w:pPr>
      <w:spacing w:before="0" w:after="0"/>
      <w:jc w:val="both"/>
    </w:pPr>
    <w:rPr>
      <w:rFonts w:ascii="Times New Roman" w:eastAsiaTheme="minorEastAsia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1BA1"/>
    <w:rPr>
      <w:rFonts w:ascii="Times New Roman" w:eastAsiaTheme="minorEastAsia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01BA1"/>
    <w:pPr>
      <w:spacing w:before="0" w:after="0"/>
      <w:jc w:val="both"/>
    </w:pPr>
    <w:rPr>
      <w:rFonts w:ascii="Times New Roman" w:eastAsiaTheme="minorEastAsia" w:hAnsi="Times New Roman" w:cs="Times New Roman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1BA1"/>
    <w:rPr>
      <w:rFonts w:ascii="Times New Roman" w:eastAsiaTheme="minorEastAsia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 WPS FK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10</cp:revision>
  <cp:lastPrinted>2015-05-22T08:16:00Z</cp:lastPrinted>
  <dcterms:created xsi:type="dcterms:W3CDTF">2015-05-21T09:36:00Z</dcterms:created>
  <dcterms:modified xsi:type="dcterms:W3CDTF">2015-05-22T08:16:00Z</dcterms:modified>
</cp:coreProperties>
</file>